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72DBB" w14:textId="09AB2ECF" w:rsidR="00101A55" w:rsidRDefault="006D5D54" w:rsidP="003510C2">
      <w:pPr>
        <w:pStyle w:val="Title"/>
        <w:ind w:left="0"/>
      </w:pPr>
      <w:r>
        <w:rPr>
          <w:color w:val="002D5D"/>
        </w:rPr>
        <w:t>Faculty</w:t>
      </w:r>
      <w:r>
        <w:rPr>
          <w:color w:val="002D5D"/>
          <w:spacing w:val="-4"/>
        </w:rPr>
        <w:t xml:space="preserve"> </w:t>
      </w:r>
      <w:r>
        <w:rPr>
          <w:color w:val="002D5D"/>
        </w:rPr>
        <w:t>Fast</w:t>
      </w:r>
      <w:r>
        <w:rPr>
          <w:color w:val="002D5D"/>
          <w:spacing w:val="-3"/>
        </w:rPr>
        <w:t xml:space="preserve"> </w:t>
      </w:r>
      <w:r>
        <w:rPr>
          <w:color w:val="002D5D"/>
          <w:spacing w:val="-2"/>
        </w:rPr>
        <w:t>Facts</w:t>
      </w:r>
    </w:p>
    <w:p w14:paraId="5BE22776" w14:textId="77777777" w:rsidR="00101A55" w:rsidRDefault="00101A55">
      <w:pPr>
        <w:pStyle w:val="BodyText"/>
      </w:pPr>
    </w:p>
    <w:p w14:paraId="0E10D37B" w14:textId="77777777" w:rsidR="00101A55" w:rsidRDefault="00101A55">
      <w:pPr>
        <w:sectPr w:rsidR="00101A55">
          <w:headerReference w:type="default" r:id="rId6"/>
          <w:type w:val="continuous"/>
          <w:pgSz w:w="12240" w:h="15840"/>
          <w:pgMar w:top="580" w:right="580" w:bottom="280" w:left="520" w:header="720" w:footer="720" w:gutter="0"/>
          <w:cols w:space="720"/>
        </w:sectPr>
      </w:pPr>
    </w:p>
    <w:p w14:paraId="368DC198" w14:textId="77777777" w:rsidR="00101A55" w:rsidRDefault="00101A55">
      <w:pPr>
        <w:pStyle w:val="BodyText"/>
        <w:spacing w:before="3"/>
      </w:pPr>
    </w:p>
    <w:p w14:paraId="7748A8A0" w14:textId="77777777" w:rsidR="00101A55" w:rsidRDefault="006D5D54">
      <w:pPr>
        <w:pStyle w:val="Heading1"/>
        <w:ind w:left="1496"/>
      </w:pPr>
      <w:r>
        <w:rPr>
          <w:color w:val="2C74B5"/>
        </w:rPr>
        <w:t>DISABILITIES</w:t>
      </w:r>
      <w:r>
        <w:rPr>
          <w:color w:val="2C74B5"/>
          <w:spacing w:val="-18"/>
        </w:rPr>
        <w:t xml:space="preserve"> </w:t>
      </w:r>
      <w:r>
        <w:rPr>
          <w:color w:val="2C74B5"/>
        </w:rPr>
        <w:t>AND</w:t>
      </w:r>
      <w:r>
        <w:rPr>
          <w:color w:val="2C74B5"/>
          <w:spacing w:val="-11"/>
        </w:rPr>
        <w:t xml:space="preserve"> </w:t>
      </w:r>
      <w:r>
        <w:rPr>
          <w:color w:val="2C74B5"/>
        </w:rPr>
        <w:t>THE</w:t>
      </w:r>
      <w:r>
        <w:rPr>
          <w:color w:val="2C74B5"/>
          <w:spacing w:val="-2"/>
        </w:rPr>
        <w:t xml:space="preserve"> </w:t>
      </w:r>
      <w:r>
        <w:rPr>
          <w:color w:val="2C74B5"/>
          <w:spacing w:val="-5"/>
        </w:rPr>
        <w:t>LAW</w:t>
      </w:r>
    </w:p>
    <w:p w14:paraId="3979FC1C" w14:textId="77777777" w:rsidR="00101A55" w:rsidRDefault="00101A55">
      <w:pPr>
        <w:pStyle w:val="BodyText"/>
        <w:spacing w:before="1"/>
        <w:rPr>
          <w:b/>
        </w:rPr>
      </w:pPr>
    </w:p>
    <w:p w14:paraId="17C98CED" w14:textId="77777777" w:rsidR="00101A55" w:rsidRDefault="006D5D54">
      <w:pPr>
        <w:pStyle w:val="BodyText"/>
        <w:ind w:left="100"/>
      </w:pPr>
      <w:r>
        <w:t>In higher education, qualified students with disabilities should</w:t>
      </w:r>
      <w:r>
        <w:rPr>
          <w:spacing w:val="-11"/>
        </w:rPr>
        <w:t xml:space="preserve"> </w:t>
      </w:r>
      <w:r>
        <w:t>receive</w:t>
      </w:r>
      <w:r>
        <w:rPr>
          <w:spacing w:val="-8"/>
        </w:rPr>
        <w:t xml:space="preserve"> </w:t>
      </w:r>
      <w:r>
        <w:t>benefits</w:t>
      </w:r>
      <w:r>
        <w:rPr>
          <w:spacing w:val="-11"/>
        </w:rPr>
        <w:t xml:space="preserve"> </w:t>
      </w:r>
      <w:r>
        <w:t>and</w:t>
      </w:r>
      <w:r>
        <w:rPr>
          <w:spacing w:val="-6"/>
        </w:rPr>
        <w:t xml:space="preserve"> </w:t>
      </w:r>
      <w:r>
        <w:t>services</w:t>
      </w:r>
      <w:r>
        <w:rPr>
          <w:spacing w:val="-11"/>
        </w:rPr>
        <w:t xml:space="preserve"> </w:t>
      </w:r>
      <w:r>
        <w:t>comparable</w:t>
      </w:r>
      <w:r>
        <w:rPr>
          <w:spacing w:val="-14"/>
        </w:rPr>
        <w:t xml:space="preserve"> </w:t>
      </w:r>
      <w:r>
        <w:t>to</w:t>
      </w:r>
      <w:r>
        <w:rPr>
          <w:spacing w:val="-3"/>
        </w:rPr>
        <w:t xml:space="preserve"> </w:t>
      </w:r>
      <w:r>
        <w:t>those given their nondisabled peers primarily as mandated by two laws—The Americans with Disabilities Act (ADA) of 1990 (Title II and III) and the Rehabilitation</w:t>
      </w:r>
      <w:r>
        <w:rPr>
          <w:spacing w:val="-4"/>
        </w:rPr>
        <w:t xml:space="preserve"> </w:t>
      </w:r>
      <w:r>
        <w:t xml:space="preserve">Act of </w:t>
      </w:r>
      <w:r>
        <w:rPr>
          <w:position w:val="1"/>
        </w:rPr>
        <w:t>1973 (Section</w:t>
      </w:r>
      <w:r>
        <w:rPr>
          <w:spacing w:val="-12"/>
          <w:position w:val="1"/>
        </w:rPr>
        <w:t xml:space="preserve"> </w:t>
      </w:r>
      <w:r>
        <w:rPr>
          <w:position w:val="1"/>
        </w:rPr>
        <w:t>504</w:t>
      </w:r>
      <w:r>
        <w:rPr>
          <w:spacing w:val="-3"/>
          <w:position w:val="1"/>
        </w:rPr>
        <w:t xml:space="preserve"> </w:t>
      </w:r>
      <w:r>
        <w:rPr>
          <w:position w:val="1"/>
        </w:rPr>
        <w:t>and</w:t>
      </w:r>
      <w:r>
        <w:rPr>
          <w:spacing w:val="-4"/>
          <w:position w:val="1"/>
        </w:rPr>
        <w:t xml:space="preserve"> </w:t>
      </w:r>
      <w:r>
        <w:rPr>
          <w:position w:val="1"/>
        </w:rPr>
        <w:t>508).</w:t>
      </w:r>
      <w:r>
        <w:rPr>
          <w:spacing w:val="-11"/>
          <w:position w:val="1"/>
        </w:rPr>
        <w:t xml:space="preserve"> </w:t>
      </w:r>
      <w:r>
        <w:rPr>
          <w:position w:val="1"/>
        </w:rPr>
        <w:t>The</w:t>
      </w:r>
      <w:r>
        <w:rPr>
          <w:spacing w:val="-1"/>
          <w:position w:val="1"/>
        </w:rPr>
        <w:t xml:space="preserve"> </w:t>
      </w:r>
      <w:r>
        <w:rPr>
          <w:position w:val="1"/>
        </w:rPr>
        <w:t>mandates</w:t>
      </w:r>
      <w:r>
        <w:rPr>
          <w:spacing w:val="-13"/>
          <w:position w:val="1"/>
        </w:rPr>
        <w:t xml:space="preserve"> </w:t>
      </w:r>
      <w:r>
        <w:rPr>
          <w:position w:val="1"/>
        </w:rPr>
        <w:t>of</w:t>
      </w:r>
      <w:r>
        <w:rPr>
          <w:spacing w:val="-2"/>
          <w:position w:val="1"/>
        </w:rPr>
        <w:t xml:space="preserve"> </w:t>
      </w:r>
      <w:r>
        <w:rPr>
          <w:position w:val="1"/>
        </w:rPr>
        <w:t>the</w:t>
      </w:r>
      <w:r>
        <w:rPr>
          <w:spacing w:val="-7"/>
          <w:position w:val="1"/>
        </w:rPr>
        <w:t xml:space="preserve"> </w:t>
      </w:r>
      <w:r>
        <w:rPr>
          <w:position w:val="1"/>
        </w:rPr>
        <w:t>ADA</w:t>
      </w:r>
      <w:r>
        <w:rPr>
          <w:spacing w:val="-1"/>
          <w:position w:val="1"/>
        </w:rPr>
        <w:t xml:space="preserve"> </w:t>
      </w:r>
      <w:r>
        <w:t>apply</w:t>
      </w:r>
      <w:r>
        <w:rPr>
          <w:spacing w:val="-6"/>
        </w:rPr>
        <w:t xml:space="preserve"> </w:t>
      </w:r>
      <w:r>
        <w:t xml:space="preserve">to all institutions of higher education, regardless of the receipt of federal funds, while Sections 504 and </w:t>
      </w:r>
      <w:r>
        <w:rPr>
          <w:position w:val="1"/>
        </w:rPr>
        <w:t>508 of the Rehabilitation</w:t>
      </w:r>
      <w:r>
        <w:rPr>
          <w:spacing w:val="-4"/>
          <w:position w:val="1"/>
        </w:rPr>
        <w:t xml:space="preserve"> </w:t>
      </w:r>
      <w:r>
        <w:rPr>
          <w:position w:val="1"/>
        </w:rPr>
        <w:t xml:space="preserve">Act apply to colleges and </w:t>
      </w:r>
      <w:r>
        <w:t xml:space="preserve">universities receiving federal financial assistance. Additionally, the Family Educational Rights and Privacy Act (FERPA) pertains to the confidentiality of students’ educational </w:t>
      </w:r>
      <w:r>
        <w:rPr>
          <w:spacing w:val="-2"/>
        </w:rPr>
        <w:t>records.</w:t>
      </w:r>
    </w:p>
    <w:p w14:paraId="2A300FE7" w14:textId="77777777" w:rsidR="00101A55" w:rsidRDefault="006D5D54">
      <w:pPr>
        <w:pStyle w:val="Heading1"/>
        <w:spacing w:before="157"/>
        <w:ind w:left="225"/>
      </w:pPr>
      <w:r>
        <w:rPr>
          <w:color w:val="006EC0"/>
        </w:rPr>
        <w:t>SECTION</w:t>
      </w:r>
      <w:r>
        <w:rPr>
          <w:color w:val="006EC0"/>
          <w:spacing w:val="-11"/>
        </w:rPr>
        <w:t xml:space="preserve"> </w:t>
      </w:r>
      <w:r>
        <w:rPr>
          <w:color w:val="006EC0"/>
        </w:rPr>
        <w:t>504</w:t>
      </w:r>
      <w:r>
        <w:rPr>
          <w:color w:val="006EC0"/>
          <w:spacing w:val="-3"/>
        </w:rPr>
        <w:t xml:space="preserve"> </w:t>
      </w:r>
      <w:r>
        <w:rPr>
          <w:color w:val="006EC0"/>
        </w:rPr>
        <w:t>OF</w:t>
      </w:r>
      <w:r>
        <w:rPr>
          <w:color w:val="006EC0"/>
          <w:spacing w:val="-8"/>
        </w:rPr>
        <w:t xml:space="preserve"> </w:t>
      </w:r>
      <w:r>
        <w:rPr>
          <w:color w:val="006EC0"/>
        </w:rPr>
        <w:t>THE</w:t>
      </w:r>
      <w:r>
        <w:rPr>
          <w:color w:val="006EC0"/>
          <w:spacing w:val="-1"/>
        </w:rPr>
        <w:t xml:space="preserve"> </w:t>
      </w:r>
      <w:r>
        <w:rPr>
          <w:color w:val="006EC0"/>
        </w:rPr>
        <w:t>REHABILITATION</w:t>
      </w:r>
      <w:r>
        <w:rPr>
          <w:color w:val="006EC0"/>
          <w:spacing w:val="-19"/>
        </w:rPr>
        <w:t xml:space="preserve"> </w:t>
      </w:r>
      <w:r>
        <w:rPr>
          <w:color w:val="006EC0"/>
        </w:rPr>
        <w:t>ACT</w:t>
      </w:r>
      <w:r>
        <w:rPr>
          <w:color w:val="006EC0"/>
          <w:spacing w:val="-3"/>
        </w:rPr>
        <w:t xml:space="preserve"> </w:t>
      </w:r>
      <w:r>
        <w:rPr>
          <w:color w:val="006EC0"/>
          <w:spacing w:val="-2"/>
        </w:rPr>
        <w:t>(1973)</w:t>
      </w:r>
    </w:p>
    <w:p w14:paraId="10DEE66A" w14:textId="77777777" w:rsidR="00101A55" w:rsidRDefault="00101A55">
      <w:pPr>
        <w:pStyle w:val="BodyText"/>
        <w:rPr>
          <w:b/>
        </w:rPr>
      </w:pPr>
    </w:p>
    <w:p w14:paraId="523A2DA6" w14:textId="77777777" w:rsidR="00101A55" w:rsidRDefault="006D5D54">
      <w:pPr>
        <w:pStyle w:val="BodyText"/>
        <w:spacing w:before="1"/>
        <w:ind w:left="100" w:right="141"/>
      </w:pPr>
      <w:r>
        <w:t>Section 504 ensures that any program or activity receiving federal financial assistance does not discriminate on the basis of disability. Section 504 states that “No otherwise qualified individual with a disability in the United States, as defined in section 7(20), shall, solely by reason</w:t>
      </w:r>
      <w:r>
        <w:rPr>
          <w:spacing w:val="-1"/>
        </w:rPr>
        <w:t xml:space="preserve"> </w:t>
      </w:r>
      <w:r>
        <w:t>of</w:t>
      </w:r>
      <w:r>
        <w:rPr>
          <w:spacing w:val="-1"/>
        </w:rPr>
        <w:t xml:space="preserve"> </w:t>
      </w:r>
      <w:r>
        <w:t>her or his</w:t>
      </w:r>
      <w:r>
        <w:rPr>
          <w:spacing w:val="-3"/>
        </w:rPr>
        <w:t xml:space="preserve"> </w:t>
      </w:r>
      <w:r>
        <w:t>disability, be excluded from the participation in, be denied the benefits</w:t>
      </w:r>
      <w:r>
        <w:rPr>
          <w:spacing w:val="-14"/>
        </w:rPr>
        <w:t xml:space="preserve"> </w:t>
      </w:r>
      <w:r>
        <w:t>of,</w:t>
      </w:r>
      <w:r>
        <w:rPr>
          <w:spacing w:val="-8"/>
        </w:rPr>
        <w:t xml:space="preserve"> </w:t>
      </w:r>
      <w:r>
        <w:t>or</w:t>
      </w:r>
      <w:r>
        <w:rPr>
          <w:spacing w:val="-3"/>
        </w:rPr>
        <w:t xml:space="preserve"> </w:t>
      </w:r>
      <w:r>
        <w:t>be</w:t>
      </w:r>
      <w:r>
        <w:rPr>
          <w:spacing w:val="-9"/>
        </w:rPr>
        <w:t xml:space="preserve"> </w:t>
      </w:r>
      <w:r>
        <w:t>subjected</w:t>
      </w:r>
      <w:r>
        <w:rPr>
          <w:spacing w:val="-10"/>
        </w:rPr>
        <w:t xml:space="preserve"> </w:t>
      </w:r>
      <w:r>
        <w:t>to</w:t>
      </w:r>
      <w:r>
        <w:rPr>
          <w:spacing w:val="-3"/>
        </w:rPr>
        <w:t xml:space="preserve"> </w:t>
      </w:r>
      <w:r>
        <w:t>discrimination</w:t>
      </w:r>
      <w:r>
        <w:rPr>
          <w:spacing w:val="-16"/>
        </w:rPr>
        <w:t xml:space="preserve"> </w:t>
      </w:r>
      <w:r>
        <w:t>under</w:t>
      </w:r>
      <w:r>
        <w:rPr>
          <w:spacing w:val="-6"/>
        </w:rPr>
        <w:t xml:space="preserve"> </w:t>
      </w:r>
      <w:r>
        <w:t>any program or activity receiving Federal financial assistance...” In higher education, Section 504 mandates that academic programs and student activities be accessible to all students, including students with disabilities, unless in so doing, an undue hardship is incurred.</w:t>
      </w:r>
    </w:p>
    <w:p w14:paraId="1CF61B8A" w14:textId="77777777" w:rsidR="00101A55" w:rsidRDefault="006D5D54">
      <w:pPr>
        <w:pStyle w:val="Heading1"/>
        <w:spacing w:before="154"/>
        <w:ind w:left="295"/>
      </w:pPr>
      <w:r>
        <w:rPr>
          <w:color w:val="006EC0"/>
        </w:rPr>
        <w:t>THE</w:t>
      </w:r>
      <w:r>
        <w:rPr>
          <w:color w:val="006EC0"/>
          <w:spacing w:val="-7"/>
        </w:rPr>
        <w:t xml:space="preserve"> </w:t>
      </w:r>
      <w:r>
        <w:rPr>
          <w:color w:val="006EC0"/>
        </w:rPr>
        <w:t>AMERICANS</w:t>
      </w:r>
      <w:r>
        <w:rPr>
          <w:color w:val="006EC0"/>
          <w:spacing w:val="-14"/>
        </w:rPr>
        <w:t xml:space="preserve"> </w:t>
      </w:r>
      <w:r>
        <w:rPr>
          <w:color w:val="006EC0"/>
        </w:rPr>
        <w:t>WITH</w:t>
      </w:r>
      <w:r>
        <w:rPr>
          <w:color w:val="006EC0"/>
          <w:spacing w:val="-8"/>
        </w:rPr>
        <w:t xml:space="preserve"> </w:t>
      </w:r>
      <w:r>
        <w:rPr>
          <w:color w:val="006EC0"/>
        </w:rPr>
        <w:t>DISABILITIES</w:t>
      </w:r>
      <w:r>
        <w:rPr>
          <w:color w:val="006EC0"/>
          <w:spacing w:val="-18"/>
        </w:rPr>
        <w:t xml:space="preserve"> </w:t>
      </w:r>
      <w:r>
        <w:rPr>
          <w:color w:val="006EC0"/>
        </w:rPr>
        <w:t>ACT</w:t>
      </w:r>
      <w:r>
        <w:rPr>
          <w:color w:val="006EC0"/>
          <w:spacing w:val="-3"/>
        </w:rPr>
        <w:t xml:space="preserve"> </w:t>
      </w:r>
      <w:r>
        <w:rPr>
          <w:color w:val="006EC0"/>
          <w:spacing w:val="-2"/>
        </w:rPr>
        <w:t>(1990)</w:t>
      </w:r>
    </w:p>
    <w:p w14:paraId="288B35A1" w14:textId="77777777" w:rsidR="00101A55" w:rsidRDefault="006D5D54">
      <w:pPr>
        <w:pStyle w:val="BodyText"/>
        <w:spacing w:before="163"/>
        <w:ind w:left="100" w:right="42"/>
      </w:pPr>
      <w:r>
        <w:t>The ADA is wide-ranging legislation intended to make society more accessible to people with disabilities. The ADA extends the provisions of Section 504 of the Rehabilitation Act, 1973, to entities not receiving federal funding. It protects fundamental rights and extends equal opportunity for individuals with disabilities to the areas of public accommodations, employment,</w:t>
      </w:r>
      <w:r>
        <w:rPr>
          <w:spacing w:val="-5"/>
        </w:rPr>
        <w:t xml:space="preserve"> </w:t>
      </w:r>
      <w:r>
        <w:t>transportation,</w:t>
      </w:r>
      <w:r>
        <w:rPr>
          <w:spacing w:val="-14"/>
        </w:rPr>
        <w:t xml:space="preserve"> </w:t>
      </w:r>
      <w:r>
        <w:t>state</w:t>
      </w:r>
      <w:r>
        <w:rPr>
          <w:spacing w:val="-6"/>
        </w:rPr>
        <w:t xml:space="preserve"> </w:t>
      </w:r>
      <w:r>
        <w:t>and</w:t>
      </w:r>
      <w:r>
        <w:rPr>
          <w:spacing w:val="-8"/>
        </w:rPr>
        <w:t xml:space="preserve"> </w:t>
      </w:r>
      <w:r>
        <w:t>local</w:t>
      </w:r>
      <w:r>
        <w:rPr>
          <w:spacing w:val="-6"/>
        </w:rPr>
        <w:t xml:space="preserve"> </w:t>
      </w:r>
      <w:r>
        <w:t>government services,</w:t>
      </w:r>
      <w:r>
        <w:rPr>
          <w:spacing w:val="-15"/>
        </w:rPr>
        <w:t xml:space="preserve"> </w:t>
      </w:r>
      <w:r>
        <w:t>and</w:t>
      </w:r>
      <w:r>
        <w:rPr>
          <w:spacing w:val="-6"/>
        </w:rPr>
        <w:t xml:space="preserve"> </w:t>
      </w:r>
      <w:r>
        <w:t>telecommunications.</w:t>
      </w:r>
      <w:r>
        <w:rPr>
          <w:spacing w:val="-19"/>
        </w:rPr>
        <w:t xml:space="preserve"> </w:t>
      </w:r>
      <w:r>
        <w:t>According</w:t>
      </w:r>
      <w:r>
        <w:rPr>
          <w:spacing w:val="-14"/>
        </w:rPr>
        <w:t xml:space="preserve"> </w:t>
      </w:r>
      <w:r>
        <w:t>to</w:t>
      </w:r>
      <w:r>
        <w:rPr>
          <w:spacing w:val="-2"/>
        </w:rPr>
        <w:t xml:space="preserve"> </w:t>
      </w:r>
      <w:r>
        <w:t>the</w:t>
      </w:r>
      <w:r>
        <w:rPr>
          <w:spacing w:val="-9"/>
        </w:rPr>
        <w:t xml:space="preserve"> </w:t>
      </w:r>
      <w:r>
        <w:t xml:space="preserve">ADA, “no </w:t>
      </w:r>
      <w:r>
        <w:rPr>
          <w:position w:val="1"/>
        </w:rPr>
        <w:t>otherwise</w:t>
      </w:r>
      <w:r>
        <w:rPr>
          <w:spacing w:val="-6"/>
          <w:position w:val="1"/>
        </w:rPr>
        <w:t xml:space="preserve"> </w:t>
      </w:r>
      <w:r>
        <w:rPr>
          <w:position w:val="1"/>
        </w:rPr>
        <w:t>qualified</w:t>
      </w:r>
      <w:r>
        <w:rPr>
          <w:spacing w:val="-4"/>
          <w:position w:val="1"/>
        </w:rPr>
        <w:t xml:space="preserve"> </w:t>
      </w:r>
      <w:r>
        <w:rPr>
          <w:position w:val="1"/>
        </w:rPr>
        <w:t>individual</w:t>
      </w:r>
      <w:r>
        <w:rPr>
          <w:spacing w:val="-2"/>
          <w:position w:val="1"/>
        </w:rPr>
        <w:t xml:space="preserve"> </w:t>
      </w:r>
      <w:r>
        <w:rPr>
          <w:position w:val="1"/>
        </w:rPr>
        <w:t>with</w:t>
      </w:r>
      <w:r>
        <w:rPr>
          <w:spacing w:val="-2"/>
          <w:position w:val="1"/>
        </w:rPr>
        <w:t xml:space="preserve"> </w:t>
      </w:r>
      <w:r>
        <w:rPr>
          <w:position w:val="1"/>
        </w:rPr>
        <w:t>a disability</w:t>
      </w:r>
      <w:r>
        <w:rPr>
          <w:spacing w:val="-1"/>
          <w:position w:val="1"/>
        </w:rPr>
        <w:t xml:space="preserve"> </w:t>
      </w:r>
      <w:r>
        <w:rPr>
          <w:position w:val="1"/>
        </w:rPr>
        <w:t xml:space="preserve">shall, </w:t>
      </w:r>
      <w:r>
        <w:t>solely by reason of his or her disability, be excluded from the participation in, be denied the benefits of, or</w:t>
      </w:r>
    </w:p>
    <w:p w14:paraId="7F9539AD" w14:textId="77777777" w:rsidR="00101A55" w:rsidRDefault="006D5D54">
      <w:pPr>
        <w:spacing w:before="4"/>
        <w:rPr>
          <w:sz w:val="19"/>
        </w:rPr>
      </w:pPr>
      <w:r>
        <w:br w:type="column"/>
      </w:r>
    </w:p>
    <w:p w14:paraId="1AD29A09" w14:textId="77777777" w:rsidR="00101A55" w:rsidRDefault="006D5D54">
      <w:pPr>
        <w:pStyle w:val="BodyText"/>
        <w:spacing w:before="1"/>
        <w:ind w:left="100"/>
      </w:pPr>
      <w:r>
        <w:rPr>
          <w:spacing w:val="-5"/>
        </w:rPr>
        <w:t>be</w:t>
      </w:r>
    </w:p>
    <w:p w14:paraId="1C6C0C3C" w14:textId="77777777" w:rsidR="00101A55" w:rsidRDefault="006D5D54">
      <w:pPr>
        <w:pStyle w:val="BodyText"/>
        <w:spacing w:before="5" w:line="237" w:lineRule="auto"/>
        <w:ind w:left="100" w:right="119"/>
      </w:pPr>
      <w:r>
        <w:t>subjected</w:t>
      </w:r>
      <w:r>
        <w:rPr>
          <w:spacing w:val="-13"/>
        </w:rPr>
        <w:t xml:space="preserve"> </w:t>
      </w:r>
      <w:r>
        <w:t>to</w:t>
      </w:r>
      <w:r>
        <w:rPr>
          <w:spacing w:val="-2"/>
        </w:rPr>
        <w:t xml:space="preserve"> </w:t>
      </w:r>
      <w:r>
        <w:t>discrimination</w:t>
      </w:r>
      <w:r>
        <w:rPr>
          <w:spacing w:val="-16"/>
        </w:rPr>
        <w:t xml:space="preserve"> </w:t>
      </w:r>
      <w:r>
        <w:t>under</w:t>
      </w:r>
      <w:r>
        <w:rPr>
          <w:spacing w:val="-6"/>
        </w:rPr>
        <w:t xml:space="preserve"> </w:t>
      </w:r>
      <w:r>
        <w:t>any</w:t>
      </w:r>
      <w:r>
        <w:rPr>
          <w:spacing w:val="-8"/>
        </w:rPr>
        <w:t xml:space="preserve"> </w:t>
      </w:r>
      <w:r>
        <w:t>program</w:t>
      </w:r>
      <w:r>
        <w:rPr>
          <w:spacing w:val="-15"/>
        </w:rPr>
        <w:t xml:space="preserve"> </w:t>
      </w:r>
      <w:r>
        <w:t>or activity of a public entity.”</w:t>
      </w:r>
    </w:p>
    <w:p w14:paraId="781E1FC7" w14:textId="77777777" w:rsidR="00101A55" w:rsidRDefault="00101A55">
      <w:pPr>
        <w:pStyle w:val="BodyText"/>
        <w:spacing w:before="1"/>
      </w:pPr>
    </w:p>
    <w:p w14:paraId="36B60829" w14:textId="77777777" w:rsidR="00101A55" w:rsidRDefault="006D5D54">
      <w:pPr>
        <w:pStyle w:val="BodyText"/>
        <w:ind w:left="100"/>
      </w:pPr>
      <w:r>
        <w:t>Title II</w:t>
      </w:r>
      <w:r>
        <w:rPr>
          <w:spacing w:val="-2"/>
        </w:rPr>
        <w:t xml:space="preserve"> </w:t>
      </w:r>
      <w:r>
        <w:t>of the ADA ensures</w:t>
      </w:r>
      <w:r>
        <w:rPr>
          <w:spacing w:val="-8"/>
        </w:rPr>
        <w:t xml:space="preserve"> </w:t>
      </w:r>
      <w:r>
        <w:t>equal opportunity</w:t>
      </w:r>
      <w:r>
        <w:rPr>
          <w:spacing w:val="-5"/>
        </w:rPr>
        <w:t xml:space="preserve"> </w:t>
      </w:r>
      <w:r>
        <w:t>and</w:t>
      </w:r>
      <w:r>
        <w:rPr>
          <w:spacing w:val="-3"/>
        </w:rPr>
        <w:t xml:space="preserve"> </w:t>
      </w:r>
      <w:r>
        <w:t>access to</w:t>
      </w:r>
      <w:r>
        <w:rPr>
          <w:spacing w:val="-8"/>
        </w:rPr>
        <w:t xml:space="preserve"> </w:t>
      </w:r>
      <w:r>
        <w:t>state-funded</w:t>
      </w:r>
      <w:r>
        <w:rPr>
          <w:spacing w:val="-13"/>
        </w:rPr>
        <w:t xml:space="preserve"> </w:t>
      </w:r>
      <w:r>
        <w:t>higher</w:t>
      </w:r>
      <w:r>
        <w:rPr>
          <w:spacing w:val="-10"/>
        </w:rPr>
        <w:t xml:space="preserve"> </w:t>
      </w:r>
      <w:r>
        <w:t>education</w:t>
      </w:r>
      <w:r>
        <w:rPr>
          <w:spacing w:val="-16"/>
        </w:rPr>
        <w:t xml:space="preserve"> </w:t>
      </w:r>
      <w:r>
        <w:t>programs</w:t>
      </w:r>
      <w:r>
        <w:rPr>
          <w:spacing w:val="-15"/>
        </w:rPr>
        <w:t xml:space="preserve"> </w:t>
      </w:r>
      <w:r>
        <w:t>(universities, community colleges, and vocational schools) for otherwise qualified college students with disabilities.</w:t>
      </w:r>
    </w:p>
    <w:p w14:paraId="0063D1E8" w14:textId="77777777" w:rsidR="00101A55" w:rsidRDefault="00101A55">
      <w:pPr>
        <w:pStyle w:val="BodyText"/>
        <w:spacing w:before="9"/>
      </w:pPr>
    </w:p>
    <w:p w14:paraId="10786FED" w14:textId="77777777" w:rsidR="00101A55" w:rsidRDefault="006D5D54">
      <w:pPr>
        <w:pStyle w:val="BodyText"/>
        <w:ind w:left="100"/>
      </w:pPr>
      <w:r>
        <w:t>Title</w:t>
      </w:r>
      <w:r>
        <w:rPr>
          <w:spacing w:val="-6"/>
        </w:rPr>
        <w:t xml:space="preserve"> </w:t>
      </w:r>
      <w:r>
        <w:t>III</w:t>
      </w:r>
      <w:r>
        <w:rPr>
          <w:spacing w:val="-2"/>
        </w:rPr>
        <w:t xml:space="preserve"> </w:t>
      </w:r>
      <w:r>
        <w:t>covers</w:t>
      </w:r>
      <w:r>
        <w:rPr>
          <w:spacing w:val="-8"/>
        </w:rPr>
        <w:t xml:space="preserve"> </w:t>
      </w:r>
      <w:r>
        <w:t>private</w:t>
      </w:r>
      <w:r>
        <w:rPr>
          <w:spacing w:val="-5"/>
        </w:rPr>
        <w:t xml:space="preserve"> </w:t>
      </w:r>
      <w:r>
        <w:t>colleges</w:t>
      </w:r>
      <w:r>
        <w:rPr>
          <w:spacing w:val="-7"/>
        </w:rPr>
        <w:t xml:space="preserve"> </w:t>
      </w:r>
      <w:r>
        <w:t>and</w:t>
      </w:r>
      <w:r>
        <w:rPr>
          <w:spacing w:val="-7"/>
        </w:rPr>
        <w:t xml:space="preserve"> </w:t>
      </w:r>
      <w:r>
        <w:t>vocational</w:t>
      </w:r>
      <w:r>
        <w:rPr>
          <w:spacing w:val="-10"/>
        </w:rPr>
        <w:t xml:space="preserve"> </w:t>
      </w:r>
      <w:r>
        <w:rPr>
          <w:spacing w:val="-2"/>
        </w:rPr>
        <w:t>schools.</w:t>
      </w:r>
    </w:p>
    <w:p w14:paraId="776A84E1" w14:textId="77777777" w:rsidR="00101A55" w:rsidRDefault="006D5D54">
      <w:pPr>
        <w:pStyle w:val="Heading1"/>
        <w:spacing w:before="158"/>
        <w:ind w:left="105"/>
      </w:pPr>
      <w:r>
        <w:rPr>
          <w:color w:val="006EC0"/>
        </w:rPr>
        <w:t>SECTION</w:t>
      </w:r>
      <w:r>
        <w:rPr>
          <w:color w:val="006EC0"/>
          <w:spacing w:val="-13"/>
        </w:rPr>
        <w:t xml:space="preserve"> </w:t>
      </w:r>
      <w:r>
        <w:rPr>
          <w:color w:val="006EC0"/>
        </w:rPr>
        <w:t>508</w:t>
      </w:r>
      <w:r>
        <w:rPr>
          <w:color w:val="006EC0"/>
          <w:spacing w:val="-3"/>
        </w:rPr>
        <w:t xml:space="preserve"> </w:t>
      </w:r>
      <w:r>
        <w:rPr>
          <w:color w:val="006EC0"/>
        </w:rPr>
        <w:t>OF</w:t>
      </w:r>
      <w:r>
        <w:rPr>
          <w:color w:val="006EC0"/>
          <w:spacing w:val="-8"/>
        </w:rPr>
        <w:t xml:space="preserve"> </w:t>
      </w:r>
      <w:r>
        <w:rPr>
          <w:color w:val="006EC0"/>
        </w:rPr>
        <w:t>THE</w:t>
      </w:r>
      <w:r>
        <w:rPr>
          <w:color w:val="006EC0"/>
          <w:spacing w:val="-1"/>
        </w:rPr>
        <w:t xml:space="preserve"> </w:t>
      </w:r>
      <w:r>
        <w:rPr>
          <w:color w:val="006EC0"/>
        </w:rPr>
        <w:t>REHABILITATION</w:t>
      </w:r>
      <w:r>
        <w:rPr>
          <w:color w:val="006EC0"/>
          <w:spacing w:val="-19"/>
        </w:rPr>
        <w:t xml:space="preserve"> </w:t>
      </w:r>
      <w:r>
        <w:rPr>
          <w:color w:val="006EC0"/>
        </w:rPr>
        <w:t>ACT</w:t>
      </w:r>
      <w:r>
        <w:rPr>
          <w:color w:val="006EC0"/>
          <w:spacing w:val="-3"/>
        </w:rPr>
        <w:t xml:space="preserve"> </w:t>
      </w:r>
      <w:r>
        <w:rPr>
          <w:color w:val="006EC0"/>
          <w:spacing w:val="-2"/>
        </w:rPr>
        <w:t>(1998)</w:t>
      </w:r>
    </w:p>
    <w:p w14:paraId="4C789345" w14:textId="77777777" w:rsidR="00101A55" w:rsidRDefault="00101A55">
      <w:pPr>
        <w:pStyle w:val="BodyText"/>
        <w:rPr>
          <w:b/>
        </w:rPr>
      </w:pPr>
    </w:p>
    <w:p w14:paraId="48B6A0E6" w14:textId="77777777" w:rsidR="00101A55" w:rsidRDefault="006D5D54">
      <w:pPr>
        <w:pStyle w:val="BodyText"/>
        <w:spacing w:before="1"/>
        <w:ind w:left="100" w:right="119"/>
      </w:pPr>
      <w:r>
        <w:t>Section</w:t>
      </w:r>
      <w:r>
        <w:rPr>
          <w:spacing w:val="-9"/>
        </w:rPr>
        <w:t xml:space="preserve"> </w:t>
      </w:r>
      <w:r>
        <w:t>508</w:t>
      </w:r>
      <w:r>
        <w:rPr>
          <w:spacing w:val="-5"/>
        </w:rPr>
        <w:t xml:space="preserve"> </w:t>
      </w:r>
      <w:r>
        <w:t>covers</w:t>
      </w:r>
      <w:r>
        <w:rPr>
          <w:spacing w:val="-11"/>
        </w:rPr>
        <w:t xml:space="preserve"> </w:t>
      </w:r>
      <w:r>
        <w:t>products</w:t>
      </w:r>
      <w:r>
        <w:rPr>
          <w:spacing w:val="-10"/>
        </w:rPr>
        <w:t xml:space="preserve"> </w:t>
      </w:r>
      <w:r>
        <w:t>and</w:t>
      </w:r>
      <w:r>
        <w:rPr>
          <w:spacing w:val="-11"/>
        </w:rPr>
        <w:t xml:space="preserve"> </w:t>
      </w:r>
      <w:r>
        <w:t>technologies</w:t>
      </w:r>
      <w:r>
        <w:rPr>
          <w:spacing w:val="-15"/>
        </w:rPr>
        <w:t xml:space="preserve"> </w:t>
      </w:r>
      <w:r>
        <w:t>procured by the Federal government, including computer hardware</w:t>
      </w:r>
      <w:r>
        <w:rPr>
          <w:spacing w:val="-5"/>
        </w:rPr>
        <w:t xml:space="preserve"> </w:t>
      </w:r>
      <w:r>
        <w:t>and</w:t>
      </w:r>
      <w:r>
        <w:rPr>
          <w:spacing w:val="-2"/>
        </w:rPr>
        <w:t xml:space="preserve"> </w:t>
      </w:r>
      <w:r>
        <w:t>software,</w:t>
      </w:r>
      <w:r>
        <w:rPr>
          <w:spacing w:val="-4"/>
        </w:rPr>
        <w:t xml:space="preserve"> </w:t>
      </w:r>
      <w:r>
        <w:t>Web</w:t>
      </w:r>
      <w:r>
        <w:rPr>
          <w:spacing w:val="-7"/>
        </w:rPr>
        <w:t xml:space="preserve"> </w:t>
      </w:r>
      <w:r>
        <w:t>sites,</w:t>
      </w:r>
      <w:r>
        <w:rPr>
          <w:spacing w:val="-4"/>
        </w:rPr>
        <w:t xml:space="preserve"> </w:t>
      </w:r>
      <w:r>
        <w:t>phone</w:t>
      </w:r>
      <w:r>
        <w:rPr>
          <w:spacing w:val="-5"/>
        </w:rPr>
        <w:t xml:space="preserve"> </w:t>
      </w:r>
      <w:r>
        <w:t>systems,</w:t>
      </w:r>
      <w:r>
        <w:rPr>
          <w:spacing w:val="-9"/>
        </w:rPr>
        <w:t xml:space="preserve"> </w:t>
      </w:r>
      <w:r>
        <w:t>fax machines, and copiers, among others.</w:t>
      </w:r>
      <w:r>
        <w:rPr>
          <w:spacing w:val="40"/>
        </w:rPr>
        <w:t xml:space="preserve"> </w:t>
      </w:r>
      <w:r>
        <w:t>Section 508 requires Federal departments and agencies that develop, procure, maintain, or use electronic and information technology to ensure that Federal employees</w:t>
      </w:r>
      <w:r>
        <w:rPr>
          <w:spacing w:val="-11"/>
        </w:rPr>
        <w:t xml:space="preserve"> </w:t>
      </w:r>
      <w:r>
        <w:t>and</w:t>
      </w:r>
      <w:r>
        <w:rPr>
          <w:spacing w:val="-1"/>
        </w:rPr>
        <w:t xml:space="preserve"> </w:t>
      </w:r>
      <w:r>
        <w:t>members</w:t>
      </w:r>
      <w:r>
        <w:rPr>
          <w:spacing w:val="-11"/>
        </w:rPr>
        <w:t xml:space="preserve"> </w:t>
      </w:r>
      <w:r>
        <w:t>of the public</w:t>
      </w:r>
      <w:r>
        <w:rPr>
          <w:spacing w:val="-4"/>
        </w:rPr>
        <w:t xml:space="preserve"> </w:t>
      </w:r>
      <w:r>
        <w:t>with</w:t>
      </w:r>
      <w:r>
        <w:rPr>
          <w:spacing w:val="-4"/>
        </w:rPr>
        <w:t xml:space="preserve"> </w:t>
      </w:r>
      <w:r>
        <w:t>disabilities have access to and use of information and data comparable</w:t>
      </w:r>
      <w:r>
        <w:rPr>
          <w:spacing w:val="-3"/>
        </w:rPr>
        <w:t xml:space="preserve"> </w:t>
      </w:r>
      <w:r>
        <w:t>to that of the employees</w:t>
      </w:r>
      <w:r>
        <w:rPr>
          <w:spacing w:val="-5"/>
        </w:rPr>
        <w:t xml:space="preserve"> </w:t>
      </w:r>
      <w:r>
        <w:t>and members</w:t>
      </w:r>
      <w:r>
        <w:rPr>
          <w:spacing w:val="-5"/>
        </w:rPr>
        <w:t xml:space="preserve"> </w:t>
      </w:r>
      <w:r>
        <w:t>of the</w:t>
      </w:r>
      <w:r>
        <w:rPr>
          <w:spacing w:val="-2"/>
        </w:rPr>
        <w:t xml:space="preserve"> </w:t>
      </w:r>
      <w:r>
        <w:t>public</w:t>
      </w:r>
      <w:r>
        <w:rPr>
          <w:spacing w:val="-8"/>
        </w:rPr>
        <w:t xml:space="preserve"> </w:t>
      </w:r>
      <w:r>
        <w:t>without</w:t>
      </w:r>
      <w:r>
        <w:rPr>
          <w:spacing w:val="-3"/>
        </w:rPr>
        <w:t xml:space="preserve"> </w:t>
      </w:r>
      <w:r>
        <w:t>disabilities.</w:t>
      </w:r>
      <w:r>
        <w:rPr>
          <w:spacing w:val="-12"/>
        </w:rPr>
        <w:t xml:space="preserve"> </w:t>
      </w:r>
      <w:r>
        <w:t>Web</w:t>
      </w:r>
      <w:r>
        <w:rPr>
          <w:spacing w:val="-10"/>
        </w:rPr>
        <w:t xml:space="preserve"> </w:t>
      </w:r>
      <w:r>
        <w:t>access</w:t>
      </w:r>
      <w:r>
        <w:rPr>
          <w:spacing w:val="-5"/>
        </w:rPr>
        <w:t xml:space="preserve"> </w:t>
      </w:r>
      <w:r>
        <w:t>is</w:t>
      </w:r>
      <w:r>
        <w:rPr>
          <w:spacing w:val="-4"/>
        </w:rPr>
        <w:t xml:space="preserve"> </w:t>
      </w:r>
      <w:r>
        <w:t xml:space="preserve">a Section 508 consideration for many institutions of higher </w:t>
      </w:r>
      <w:r>
        <w:rPr>
          <w:spacing w:val="-2"/>
        </w:rPr>
        <w:t>education.</w:t>
      </w:r>
    </w:p>
    <w:p w14:paraId="21476170" w14:textId="77777777" w:rsidR="00101A55" w:rsidRDefault="006D5D54">
      <w:pPr>
        <w:pStyle w:val="Heading1"/>
        <w:spacing w:before="181" w:line="278" w:lineRule="auto"/>
        <w:ind w:left="2261" w:hanging="1881"/>
      </w:pPr>
      <w:r>
        <w:rPr>
          <w:color w:val="006EC0"/>
        </w:rPr>
        <w:t>FAMILY</w:t>
      </w:r>
      <w:r>
        <w:rPr>
          <w:color w:val="006EC0"/>
          <w:spacing w:val="-16"/>
        </w:rPr>
        <w:t xml:space="preserve"> </w:t>
      </w:r>
      <w:r>
        <w:rPr>
          <w:color w:val="006EC0"/>
        </w:rPr>
        <w:t>EDUCATIONAL</w:t>
      </w:r>
      <w:r>
        <w:rPr>
          <w:color w:val="006EC0"/>
          <w:spacing w:val="-16"/>
        </w:rPr>
        <w:t xml:space="preserve"> </w:t>
      </w:r>
      <w:r>
        <w:rPr>
          <w:color w:val="006EC0"/>
        </w:rPr>
        <w:t>RIGHTS</w:t>
      </w:r>
      <w:r>
        <w:rPr>
          <w:color w:val="006EC0"/>
          <w:spacing w:val="-15"/>
        </w:rPr>
        <w:t xml:space="preserve"> </w:t>
      </w:r>
      <w:r>
        <w:rPr>
          <w:color w:val="006EC0"/>
        </w:rPr>
        <w:t>AND</w:t>
      </w:r>
      <w:r>
        <w:rPr>
          <w:color w:val="006EC0"/>
          <w:spacing w:val="-15"/>
        </w:rPr>
        <w:t xml:space="preserve"> </w:t>
      </w:r>
      <w:r>
        <w:rPr>
          <w:color w:val="006EC0"/>
        </w:rPr>
        <w:t>PRIVACY</w:t>
      </w:r>
      <w:r>
        <w:rPr>
          <w:color w:val="006EC0"/>
          <w:spacing w:val="-2"/>
        </w:rPr>
        <w:t xml:space="preserve"> </w:t>
      </w:r>
      <w:r>
        <w:rPr>
          <w:color w:val="006EC0"/>
        </w:rPr>
        <w:t xml:space="preserve">ACT </w:t>
      </w:r>
      <w:r>
        <w:rPr>
          <w:color w:val="006EC0"/>
          <w:spacing w:val="-2"/>
        </w:rPr>
        <w:t>(FERPA)</w:t>
      </w:r>
    </w:p>
    <w:p w14:paraId="4A71BCE9" w14:textId="77777777" w:rsidR="00101A55" w:rsidRDefault="006D5D54">
      <w:pPr>
        <w:pStyle w:val="BodyText"/>
        <w:spacing w:before="137"/>
        <w:ind w:left="100" w:right="132"/>
      </w:pPr>
      <w:r>
        <w:t>In</w:t>
      </w:r>
      <w:r>
        <w:rPr>
          <w:spacing w:val="-2"/>
        </w:rPr>
        <w:t xml:space="preserve"> </w:t>
      </w:r>
      <w:r>
        <w:t>general,</w:t>
      </w:r>
      <w:r>
        <w:rPr>
          <w:spacing w:val="-6"/>
        </w:rPr>
        <w:t xml:space="preserve"> </w:t>
      </w:r>
      <w:r>
        <w:t>FERPA</w:t>
      </w:r>
      <w:r>
        <w:rPr>
          <w:spacing w:val="-5"/>
        </w:rPr>
        <w:t xml:space="preserve"> </w:t>
      </w:r>
      <w:r>
        <w:t>requires</w:t>
      </w:r>
      <w:r>
        <w:rPr>
          <w:spacing w:val="-9"/>
        </w:rPr>
        <w:t xml:space="preserve"> </w:t>
      </w:r>
      <w:r>
        <w:t>institutions</w:t>
      </w:r>
      <w:r>
        <w:rPr>
          <w:spacing w:val="-13"/>
        </w:rPr>
        <w:t xml:space="preserve"> </w:t>
      </w:r>
      <w:r>
        <w:t>of</w:t>
      </w:r>
      <w:r>
        <w:rPr>
          <w:spacing w:val="-7"/>
        </w:rPr>
        <w:t xml:space="preserve"> </w:t>
      </w:r>
      <w:r>
        <w:t>postsecondary education</w:t>
      </w:r>
      <w:r>
        <w:rPr>
          <w:spacing w:val="-13"/>
        </w:rPr>
        <w:t xml:space="preserve"> </w:t>
      </w:r>
      <w:r>
        <w:t>to</w:t>
      </w:r>
      <w:r>
        <w:rPr>
          <w:spacing w:val="-2"/>
        </w:rPr>
        <w:t xml:space="preserve"> </w:t>
      </w:r>
      <w:r>
        <w:t>obtain</w:t>
      </w:r>
      <w:r>
        <w:rPr>
          <w:spacing w:val="-9"/>
        </w:rPr>
        <w:t xml:space="preserve"> </w:t>
      </w:r>
      <w:r>
        <w:t>written</w:t>
      </w:r>
      <w:r>
        <w:rPr>
          <w:spacing w:val="-8"/>
        </w:rPr>
        <w:t xml:space="preserve"> </w:t>
      </w:r>
      <w:r>
        <w:t>permission</w:t>
      </w:r>
      <w:r>
        <w:rPr>
          <w:spacing w:val="-13"/>
        </w:rPr>
        <w:t xml:space="preserve"> </w:t>
      </w:r>
      <w:r>
        <w:t>from</w:t>
      </w:r>
      <w:r>
        <w:rPr>
          <w:spacing w:val="-10"/>
        </w:rPr>
        <w:t xml:space="preserve"> </w:t>
      </w:r>
      <w:r>
        <w:t>students</w:t>
      </w:r>
      <w:r>
        <w:rPr>
          <w:spacing w:val="-15"/>
        </w:rPr>
        <w:t xml:space="preserve"> </w:t>
      </w:r>
      <w:r>
        <w:t>to release information from a student’s educational record. However, when it is necessary for school officials</w:t>
      </w:r>
      <w:r>
        <w:rPr>
          <w:spacing w:val="-5"/>
        </w:rPr>
        <w:t xml:space="preserve"> </w:t>
      </w:r>
      <w:r>
        <w:t xml:space="preserve">to </w:t>
      </w:r>
      <w:r>
        <w:rPr>
          <w:position w:val="1"/>
        </w:rPr>
        <w:t>share</w:t>
      </w:r>
      <w:r>
        <w:rPr>
          <w:spacing w:val="-2"/>
          <w:position w:val="1"/>
        </w:rPr>
        <w:t xml:space="preserve"> </w:t>
      </w:r>
      <w:r>
        <w:rPr>
          <w:position w:val="1"/>
        </w:rPr>
        <w:t>information</w:t>
      </w:r>
      <w:r>
        <w:rPr>
          <w:spacing w:val="-8"/>
          <w:position w:val="1"/>
        </w:rPr>
        <w:t xml:space="preserve"> </w:t>
      </w:r>
      <w:r>
        <w:rPr>
          <w:position w:val="1"/>
        </w:rPr>
        <w:t>with</w:t>
      </w:r>
      <w:r>
        <w:rPr>
          <w:spacing w:val="-3"/>
          <w:position w:val="1"/>
        </w:rPr>
        <w:t xml:space="preserve"> </w:t>
      </w:r>
      <w:r>
        <w:rPr>
          <w:position w:val="1"/>
        </w:rPr>
        <w:t>each</w:t>
      </w:r>
      <w:r>
        <w:rPr>
          <w:spacing w:val="-3"/>
          <w:position w:val="1"/>
        </w:rPr>
        <w:t xml:space="preserve"> </w:t>
      </w:r>
      <w:r>
        <w:rPr>
          <w:position w:val="1"/>
        </w:rPr>
        <w:t>other</w:t>
      </w:r>
      <w:r>
        <w:rPr>
          <w:spacing w:val="-1"/>
          <w:position w:val="1"/>
        </w:rPr>
        <w:t xml:space="preserve"> </w:t>
      </w:r>
      <w:r>
        <w:rPr>
          <w:position w:val="1"/>
        </w:rPr>
        <w:t xml:space="preserve">regarding </w:t>
      </w:r>
      <w:r>
        <w:t xml:space="preserve">a student’s educational records, this can be done </w:t>
      </w:r>
      <w:r>
        <w:rPr>
          <w:position w:val="1"/>
        </w:rPr>
        <w:t xml:space="preserve">without consent, </w:t>
      </w:r>
      <w:r>
        <w:t>when there is a “legitimate educational</w:t>
      </w:r>
      <w:r>
        <w:rPr>
          <w:spacing w:val="-12"/>
        </w:rPr>
        <w:t xml:space="preserve"> </w:t>
      </w:r>
      <w:r>
        <w:t>interest”</w:t>
      </w:r>
      <w:r>
        <w:rPr>
          <w:spacing w:val="-7"/>
        </w:rPr>
        <w:t xml:space="preserve"> </w:t>
      </w:r>
      <w:r>
        <w:t>or,</w:t>
      </w:r>
      <w:r>
        <w:rPr>
          <w:spacing w:val="-6"/>
        </w:rPr>
        <w:t xml:space="preserve"> </w:t>
      </w:r>
      <w:r>
        <w:t>in</w:t>
      </w:r>
      <w:r>
        <w:rPr>
          <w:spacing w:val="-2"/>
        </w:rPr>
        <w:t xml:space="preserve"> </w:t>
      </w:r>
      <w:r>
        <w:t>cases</w:t>
      </w:r>
      <w:r>
        <w:rPr>
          <w:spacing w:val="-8"/>
        </w:rPr>
        <w:t xml:space="preserve"> </w:t>
      </w:r>
      <w:r>
        <w:t>where</w:t>
      </w:r>
      <w:r>
        <w:rPr>
          <w:spacing w:val="-7"/>
        </w:rPr>
        <w:t xml:space="preserve"> </w:t>
      </w:r>
      <w:r>
        <w:t>there</w:t>
      </w:r>
      <w:r>
        <w:rPr>
          <w:spacing w:val="-2"/>
        </w:rPr>
        <w:t xml:space="preserve"> </w:t>
      </w:r>
      <w:r>
        <w:t>may</w:t>
      </w:r>
      <w:r>
        <w:rPr>
          <w:spacing w:val="-6"/>
        </w:rPr>
        <w:t xml:space="preserve"> </w:t>
      </w:r>
      <w:r>
        <w:t>be</w:t>
      </w:r>
      <w:r>
        <w:rPr>
          <w:spacing w:val="-2"/>
        </w:rPr>
        <w:t xml:space="preserve"> </w:t>
      </w:r>
      <w:r>
        <w:t>a threat to health and safety, as well as a number of other extenuating circumstances (34 CFR § 99.31).</w:t>
      </w:r>
    </w:p>
    <w:p w14:paraId="08690B78" w14:textId="77777777" w:rsidR="00101A55" w:rsidRDefault="00101A55">
      <w:pPr>
        <w:pStyle w:val="BodyText"/>
        <w:rPr>
          <w:sz w:val="22"/>
        </w:rPr>
      </w:pPr>
    </w:p>
    <w:p w14:paraId="40E99F62" w14:textId="77777777" w:rsidR="00101A55" w:rsidRDefault="00101A55">
      <w:pPr>
        <w:pStyle w:val="BodyText"/>
        <w:spacing w:before="5"/>
        <w:rPr>
          <w:sz w:val="17"/>
        </w:rPr>
      </w:pPr>
    </w:p>
    <w:p w14:paraId="5D94538F" w14:textId="77777777" w:rsidR="00101A55" w:rsidRDefault="006D5D54">
      <w:pPr>
        <w:pStyle w:val="Heading1"/>
        <w:spacing w:before="1"/>
      </w:pPr>
      <w:r>
        <w:rPr>
          <w:color w:val="2C74B5"/>
        </w:rPr>
        <w:t>For</w:t>
      </w:r>
      <w:r>
        <w:rPr>
          <w:color w:val="2C74B5"/>
          <w:spacing w:val="-9"/>
        </w:rPr>
        <w:t xml:space="preserve"> </w:t>
      </w:r>
      <w:r>
        <w:rPr>
          <w:color w:val="2C74B5"/>
        </w:rPr>
        <w:t>more</w:t>
      </w:r>
      <w:r>
        <w:rPr>
          <w:color w:val="2C74B5"/>
          <w:spacing w:val="-4"/>
        </w:rPr>
        <w:t xml:space="preserve"> </w:t>
      </w:r>
      <w:r>
        <w:rPr>
          <w:color w:val="2C74B5"/>
        </w:rPr>
        <w:t>information,</w:t>
      </w:r>
      <w:r>
        <w:rPr>
          <w:color w:val="2C74B5"/>
          <w:spacing w:val="-2"/>
        </w:rPr>
        <w:t xml:space="preserve"> </w:t>
      </w:r>
      <w:r>
        <w:rPr>
          <w:color w:val="2C74B5"/>
        </w:rPr>
        <w:t>please</w:t>
      </w:r>
      <w:r>
        <w:rPr>
          <w:color w:val="2C74B5"/>
          <w:spacing w:val="-7"/>
        </w:rPr>
        <w:t xml:space="preserve"> </w:t>
      </w:r>
      <w:r>
        <w:rPr>
          <w:color w:val="2C74B5"/>
          <w:spacing w:val="-2"/>
        </w:rPr>
        <w:t>contact:</w:t>
      </w:r>
    </w:p>
    <w:p w14:paraId="1E567070" w14:textId="77777777" w:rsidR="00101A55" w:rsidRDefault="006D5D54">
      <w:pPr>
        <w:pStyle w:val="BodyText"/>
        <w:tabs>
          <w:tab w:val="left" w:pos="1540"/>
        </w:tabs>
        <w:spacing w:before="8" w:line="254" w:lineRule="auto"/>
        <w:ind w:left="100" w:right="619"/>
      </w:pPr>
      <w:r>
        <w:t>Erin</w:t>
      </w:r>
      <w:r>
        <w:rPr>
          <w:spacing w:val="-6"/>
        </w:rPr>
        <w:t xml:space="preserve"> </w:t>
      </w:r>
      <w:r>
        <w:t>Hannaford,</w:t>
      </w:r>
      <w:r>
        <w:rPr>
          <w:spacing w:val="-13"/>
        </w:rPr>
        <w:t xml:space="preserve"> </w:t>
      </w:r>
      <w:r>
        <w:t>Director</w:t>
      </w:r>
      <w:r>
        <w:rPr>
          <w:spacing w:val="-13"/>
        </w:rPr>
        <w:t xml:space="preserve"> </w:t>
      </w:r>
      <w:r>
        <w:t>of</w:t>
      </w:r>
      <w:r>
        <w:rPr>
          <w:spacing w:val="-11"/>
        </w:rPr>
        <w:t xml:space="preserve"> </w:t>
      </w:r>
      <w:r>
        <w:t>Accessibility</w:t>
      </w:r>
      <w:r>
        <w:rPr>
          <w:spacing w:val="-5"/>
        </w:rPr>
        <w:t xml:space="preserve"> </w:t>
      </w:r>
      <w:r>
        <w:t xml:space="preserve">Resources </w:t>
      </w:r>
      <w:r>
        <w:rPr>
          <w:spacing w:val="-2"/>
        </w:rPr>
        <w:t>717-867-6071</w:t>
      </w:r>
      <w:r>
        <w:tab/>
      </w:r>
      <w:hyperlink r:id="rId7">
        <w:r>
          <w:rPr>
            <w:color w:val="0000FF"/>
            <w:spacing w:val="-2"/>
            <w:u w:val="single" w:color="0000FF"/>
          </w:rPr>
          <w:t>hannafor@lvc.edu</w:t>
        </w:r>
      </w:hyperlink>
    </w:p>
    <w:p w14:paraId="75244A35" w14:textId="77777777" w:rsidR="00101A55" w:rsidRDefault="00101A55">
      <w:pPr>
        <w:spacing w:line="254" w:lineRule="auto"/>
        <w:sectPr w:rsidR="00101A55">
          <w:type w:val="continuous"/>
          <w:pgSz w:w="12240" w:h="15840"/>
          <w:pgMar w:top="580" w:right="580" w:bottom="280" w:left="520" w:header="720" w:footer="720" w:gutter="0"/>
          <w:cols w:num="2" w:space="720" w:equalWidth="0">
            <w:col w:w="5267" w:space="595"/>
            <w:col w:w="5278"/>
          </w:cols>
        </w:sectPr>
      </w:pPr>
    </w:p>
    <w:p w14:paraId="0C3FC513" w14:textId="77777777" w:rsidR="00101A55" w:rsidRDefault="00101A55">
      <w:pPr>
        <w:pStyle w:val="BodyText"/>
      </w:pPr>
    </w:p>
    <w:p w14:paraId="6B8D6999" w14:textId="77777777" w:rsidR="00101A55" w:rsidRDefault="00101A55">
      <w:pPr>
        <w:pStyle w:val="BodyText"/>
        <w:spacing w:before="8"/>
        <w:rPr>
          <w:sz w:val="23"/>
        </w:rPr>
      </w:pPr>
    </w:p>
    <w:p w14:paraId="2B1907D9" w14:textId="77777777" w:rsidR="00101A55" w:rsidRDefault="006D5D54">
      <w:pPr>
        <w:pStyle w:val="BodyText"/>
        <w:spacing w:before="1"/>
        <w:ind w:left="273" w:right="135"/>
        <w:jc w:val="center"/>
      </w:pPr>
      <w:r>
        <w:rPr>
          <w:color w:val="2C74B5"/>
        </w:rPr>
        <w:t>PLEASE</w:t>
      </w:r>
      <w:r>
        <w:rPr>
          <w:color w:val="2C74B5"/>
          <w:spacing w:val="-16"/>
        </w:rPr>
        <w:t xml:space="preserve"> </w:t>
      </w:r>
      <w:r>
        <w:rPr>
          <w:color w:val="2C74B5"/>
        </w:rPr>
        <w:t>NOTE:</w:t>
      </w:r>
      <w:r>
        <w:rPr>
          <w:color w:val="2C74B5"/>
          <w:spacing w:val="-15"/>
        </w:rPr>
        <w:t xml:space="preserve"> </w:t>
      </w:r>
      <w:r>
        <w:rPr>
          <w:color w:val="2C74B5"/>
        </w:rPr>
        <w:t>Faculty</w:t>
      </w:r>
      <w:r>
        <w:rPr>
          <w:color w:val="2C74B5"/>
          <w:spacing w:val="-12"/>
        </w:rPr>
        <w:t xml:space="preserve"> </w:t>
      </w:r>
      <w:r>
        <w:rPr>
          <w:color w:val="2C74B5"/>
        </w:rPr>
        <w:t>do</w:t>
      </w:r>
      <w:r>
        <w:rPr>
          <w:color w:val="2C74B5"/>
          <w:spacing w:val="-10"/>
        </w:rPr>
        <w:t xml:space="preserve"> </w:t>
      </w:r>
      <w:r>
        <w:rPr>
          <w:color w:val="2C74B5"/>
        </w:rPr>
        <w:t>not</w:t>
      </w:r>
      <w:r>
        <w:rPr>
          <w:color w:val="2C74B5"/>
          <w:spacing w:val="-13"/>
        </w:rPr>
        <w:t xml:space="preserve"> </w:t>
      </w:r>
      <w:r>
        <w:rPr>
          <w:color w:val="2C74B5"/>
        </w:rPr>
        <w:t>have</w:t>
      </w:r>
      <w:r>
        <w:rPr>
          <w:color w:val="2C74B5"/>
          <w:spacing w:val="-16"/>
        </w:rPr>
        <w:t xml:space="preserve"> </w:t>
      </w:r>
      <w:r>
        <w:rPr>
          <w:color w:val="2C74B5"/>
        </w:rPr>
        <w:t>the</w:t>
      </w:r>
      <w:r>
        <w:rPr>
          <w:color w:val="2C74B5"/>
          <w:spacing w:val="-7"/>
        </w:rPr>
        <w:t xml:space="preserve"> </w:t>
      </w:r>
      <w:r>
        <w:rPr>
          <w:color w:val="2C74B5"/>
        </w:rPr>
        <w:t>right</w:t>
      </w:r>
      <w:r>
        <w:rPr>
          <w:color w:val="2C74B5"/>
          <w:spacing w:val="-13"/>
        </w:rPr>
        <w:t xml:space="preserve"> </w:t>
      </w:r>
      <w:r>
        <w:rPr>
          <w:color w:val="2C74B5"/>
        </w:rPr>
        <w:t>to</w:t>
      </w:r>
      <w:r>
        <w:rPr>
          <w:color w:val="2C74B5"/>
          <w:spacing w:val="-11"/>
        </w:rPr>
        <w:t xml:space="preserve"> </w:t>
      </w:r>
      <w:r>
        <w:rPr>
          <w:color w:val="2C74B5"/>
        </w:rPr>
        <w:t>ask</w:t>
      </w:r>
      <w:r>
        <w:rPr>
          <w:color w:val="2C74B5"/>
          <w:spacing w:val="-14"/>
        </w:rPr>
        <w:t xml:space="preserve"> </w:t>
      </w:r>
      <w:r>
        <w:rPr>
          <w:color w:val="2C74B5"/>
        </w:rPr>
        <w:t>students</w:t>
      </w:r>
      <w:r>
        <w:rPr>
          <w:color w:val="2C74B5"/>
          <w:spacing w:val="-14"/>
        </w:rPr>
        <w:t xml:space="preserve"> </w:t>
      </w:r>
      <w:r>
        <w:rPr>
          <w:color w:val="2C74B5"/>
        </w:rPr>
        <w:t>if</w:t>
      </w:r>
      <w:r>
        <w:rPr>
          <w:color w:val="2C74B5"/>
          <w:spacing w:val="-8"/>
        </w:rPr>
        <w:t xml:space="preserve"> </w:t>
      </w:r>
      <w:r>
        <w:rPr>
          <w:color w:val="2C74B5"/>
        </w:rPr>
        <w:t>they</w:t>
      </w:r>
      <w:r>
        <w:rPr>
          <w:color w:val="2C74B5"/>
          <w:spacing w:val="-7"/>
        </w:rPr>
        <w:t xml:space="preserve"> </w:t>
      </w:r>
      <w:r>
        <w:rPr>
          <w:color w:val="2C74B5"/>
        </w:rPr>
        <w:t>have</w:t>
      </w:r>
      <w:r>
        <w:rPr>
          <w:color w:val="2C74B5"/>
          <w:spacing w:val="-13"/>
        </w:rPr>
        <w:t xml:space="preserve"> </w:t>
      </w:r>
      <w:r>
        <w:rPr>
          <w:color w:val="2C74B5"/>
        </w:rPr>
        <w:t>a</w:t>
      </w:r>
      <w:r>
        <w:rPr>
          <w:color w:val="2C74B5"/>
          <w:spacing w:val="-14"/>
        </w:rPr>
        <w:t xml:space="preserve"> </w:t>
      </w:r>
      <w:r>
        <w:rPr>
          <w:color w:val="2C74B5"/>
        </w:rPr>
        <w:t>disability.</w:t>
      </w:r>
      <w:r>
        <w:rPr>
          <w:color w:val="2C74B5"/>
          <w:spacing w:val="-16"/>
        </w:rPr>
        <w:t xml:space="preserve"> </w:t>
      </w:r>
      <w:r>
        <w:rPr>
          <w:color w:val="2C74B5"/>
        </w:rPr>
        <w:t>For</w:t>
      </w:r>
      <w:r>
        <w:rPr>
          <w:color w:val="2C74B5"/>
          <w:spacing w:val="-10"/>
        </w:rPr>
        <w:t xml:space="preserve"> </w:t>
      </w:r>
      <w:r>
        <w:rPr>
          <w:color w:val="2C74B5"/>
        </w:rPr>
        <w:t>those</w:t>
      </w:r>
      <w:r>
        <w:rPr>
          <w:color w:val="2C74B5"/>
          <w:spacing w:val="-8"/>
        </w:rPr>
        <w:t xml:space="preserve"> </w:t>
      </w:r>
      <w:r>
        <w:rPr>
          <w:color w:val="2C74B5"/>
        </w:rPr>
        <w:t>students</w:t>
      </w:r>
      <w:r>
        <w:rPr>
          <w:color w:val="2C74B5"/>
          <w:spacing w:val="-16"/>
        </w:rPr>
        <w:t xml:space="preserve"> </w:t>
      </w:r>
      <w:r>
        <w:rPr>
          <w:color w:val="2C74B5"/>
        </w:rPr>
        <w:t>with</w:t>
      </w:r>
      <w:r>
        <w:rPr>
          <w:color w:val="2C74B5"/>
          <w:spacing w:val="-12"/>
        </w:rPr>
        <w:t xml:space="preserve"> </w:t>
      </w:r>
      <w:r>
        <w:rPr>
          <w:color w:val="2C74B5"/>
        </w:rPr>
        <w:t>documented disabilities,</w:t>
      </w:r>
      <w:r>
        <w:rPr>
          <w:color w:val="2C74B5"/>
          <w:spacing w:val="-9"/>
        </w:rPr>
        <w:t xml:space="preserve"> </w:t>
      </w:r>
      <w:r>
        <w:rPr>
          <w:color w:val="2C74B5"/>
        </w:rPr>
        <w:t>faculty</w:t>
      </w:r>
      <w:r>
        <w:rPr>
          <w:color w:val="2C74B5"/>
          <w:spacing w:val="-5"/>
        </w:rPr>
        <w:t xml:space="preserve"> </w:t>
      </w:r>
      <w:r>
        <w:rPr>
          <w:color w:val="2C74B5"/>
        </w:rPr>
        <w:t>do</w:t>
      </w:r>
      <w:r>
        <w:rPr>
          <w:color w:val="2C74B5"/>
          <w:spacing w:val="-3"/>
        </w:rPr>
        <w:t xml:space="preserve"> </w:t>
      </w:r>
      <w:r>
        <w:rPr>
          <w:color w:val="2C74B5"/>
        </w:rPr>
        <w:t>not</w:t>
      </w:r>
      <w:r>
        <w:rPr>
          <w:color w:val="2C74B5"/>
          <w:spacing w:val="-1"/>
        </w:rPr>
        <w:t xml:space="preserve"> </w:t>
      </w:r>
      <w:r>
        <w:rPr>
          <w:color w:val="2C74B5"/>
        </w:rPr>
        <w:t>have</w:t>
      </w:r>
      <w:r>
        <w:rPr>
          <w:color w:val="2C74B5"/>
          <w:spacing w:val="-6"/>
        </w:rPr>
        <w:t xml:space="preserve"> </w:t>
      </w:r>
      <w:r>
        <w:rPr>
          <w:color w:val="2C74B5"/>
        </w:rPr>
        <w:t>the</w:t>
      </w:r>
      <w:r>
        <w:rPr>
          <w:color w:val="2C74B5"/>
          <w:spacing w:val="-1"/>
        </w:rPr>
        <w:t xml:space="preserve"> </w:t>
      </w:r>
      <w:r>
        <w:rPr>
          <w:color w:val="2C74B5"/>
        </w:rPr>
        <w:t>right</w:t>
      </w:r>
      <w:r>
        <w:rPr>
          <w:color w:val="2C74B5"/>
          <w:spacing w:val="-6"/>
        </w:rPr>
        <w:t xml:space="preserve"> </w:t>
      </w:r>
      <w:r>
        <w:rPr>
          <w:color w:val="2C74B5"/>
        </w:rPr>
        <w:t>to</w:t>
      </w:r>
      <w:r>
        <w:rPr>
          <w:color w:val="2C74B5"/>
          <w:spacing w:val="-4"/>
        </w:rPr>
        <w:t xml:space="preserve"> </w:t>
      </w:r>
      <w:r>
        <w:rPr>
          <w:color w:val="2C74B5"/>
        </w:rPr>
        <w:t>ask</w:t>
      </w:r>
      <w:r>
        <w:rPr>
          <w:color w:val="2C74B5"/>
          <w:spacing w:val="-8"/>
        </w:rPr>
        <w:t xml:space="preserve"> </w:t>
      </w:r>
      <w:r>
        <w:rPr>
          <w:color w:val="2C74B5"/>
        </w:rPr>
        <w:t>about</w:t>
      </w:r>
      <w:r>
        <w:rPr>
          <w:color w:val="2C74B5"/>
          <w:spacing w:val="-6"/>
        </w:rPr>
        <w:t xml:space="preserve"> </w:t>
      </w:r>
      <w:r>
        <w:rPr>
          <w:color w:val="2C74B5"/>
        </w:rPr>
        <w:t>the</w:t>
      </w:r>
      <w:r>
        <w:rPr>
          <w:color w:val="2C74B5"/>
          <w:spacing w:val="-6"/>
        </w:rPr>
        <w:t xml:space="preserve"> </w:t>
      </w:r>
      <w:r>
        <w:rPr>
          <w:color w:val="2C74B5"/>
        </w:rPr>
        <w:t>nature</w:t>
      </w:r>
      <w:r>
        <w:rPr>
          <w:color w:val="2C74B5"/>
          <w:spacing w:val="-5"/>
        </w:rPr>
        <w:t xml:space="preserve"> </w:t>
      </w:r>
      <w:r>
        <w:rPr>
          <w:color w:val="2C74B5"/>
        </w:rPr>
        <w:t>of</w:t>
      </w:r>
      <w:r>
        <w:rPr>
          <w:color w:val="2C74B5"/>
          <w:spacing w:val="-1"/>
        </w:rPr>
        <w:t xml:space="preserve"> </w:t>
      </w:r>
      <w:r>
        <w:rPr>
          <w:color w:val="2C74B5"/>
        </w:rPr>
        <w:t>the</w:t>
      </w:r>
      <w:r>
        <w:rPr>
          <w:color w:val="2C74B5"/>
          <w:spacing w:val="-6"/>
        </w:rPr>
        <w:t xml:space="preserve"> </w:t>
      </w:r>
      <w:r>
        <w:rPr>
          <w:color w:val="2C74B5"/>
        </w:rPr>
        <w:t>disability.</w:t>
      </w:r>
      <w:r>
        <w:rPr>
          <w:color w:val="2C74B5"/>
          <w:spacing w:val="-10"/>
        </w:rPr>
        <w:t xml:space="preserve"> </w:t>
      </w:r>
      <w:r>
        <w:rPr>
          <w:color w:val="2C74B5"/>
        </w:rPr>
        <w:t>However, if</w:t>
      </w:r>
      <w:r>
        <w:rPr>
          <w:color w:val="2C74B5"/>
          <w:spacing w:val="-6"/>
        </w:rPr>
        <w:t xml:space="preserve"> </w:t>
      </w:r>
      <w:r>
        <w:rPr>
          <w:color w:val="2C74B5"/>
        </w:rPr>
        <w:t>a</w:t>
      </w:r>
      <w:r>
        <w:rPr>
          <w:color w:val="2C74B5"/>
          <w:spacing w:val="-7"/>
        </w:rPr>
        <w:t xml:space="preserve"> </w:t>
      </w:r>
      <w:r>
        <w:rPr>
          <w:color w:val="2C74B5"/>
        </w:rPr>
        <w:t>student</w:t>
      </w:r>
      <w:r>
        <w:rPr>
          <w:color w:val="2C74B5"/>
          <w:spacing w:val="-6"/>
        </w:rPr>
        <w:t xml:space="preserve"> </w:t>
      </w:r>
      <w:r>
        <w:rPr>
          <w:color w:val="2C74B5"/>
        </w:rPr>
        <w:t>chooses</w:t>
      </w:r>
      <w:r>
        <w:rPr>
          <w:color w:val="2C74B5"/>
          <w:spacing w:val="-8"/>
        </w:rPr>
        <w:t xml:space="preserve"> </w:t>
      </w:r>
      <w:r>
        <w:rPr>
          <w:color w:val="2C74B5"/>
        </w:rPr>
        <w:t>to disclose their disability to faculty,</w:t>
      </w:r>
      <w:r>
        <w:rPr>
          <w:color w:val="2C74B5"/>
          <w:spacing w:val="-6"/>
        </w:rPr>
        <w:t xml:space="preserve"> </w:t>
      </w:r>
      <w:r>
        <w:rPr>
          <w:color w:val="2C74B5"/>
        </w:rPr>
        <w:t>this</w:t>
      </w:r>
      <w:r>
        <w:rPr>
          <w:color w:val="2C74B5"/>
          <w:spacing w:val="-3"/>
        </w:rPr>
        <w:t xml:space="preserve"> </w:t>
      </w:r>
      <w:r>
        <w:rPr>
          <w:color w:val="2C74B5"/>
        </w:rPr>
        <w:t>information</w:t>
      </w:r>
      <w:r>
        <w:rPr>
          <w:color w:val="2C74B5"/>
          <w:spacing w:val="-1"/>
        </w:rPr>
        <w:t xml:space="preserve"> </w:t>
      </w:r>
      <w:r>
        <w:rPr>
          <w:color w:val="2C74B5"/>
        </w:rPr>
        <w:t>should</w:t>
      </w:r>
      <w:r>
        <w:rPr>
          <w:color w:val="2C74B5"/>
          <w:spacing w:val="-9"/>
        </w:rPr>
        <w:t xml:space="preserve"> </w:t>
      </w:r>
      <w:r>
        <w:rPr>
          <w:color w:val="2C74B5"/>
        </w:rPr>
        <w:t>be treated</w:t>
      </w:r>
      <w:r>
        <w:rPr>
          <w:color w:val="2C74B5"/>
          <w:spacing w:val="-3"/>
        </w:rPr>
        <w:t xml:space="preserve"> </w:t>
      </w:r>
      <w:r>
        <w:rPr>
          <w:color w:val="2C74B5"/>
        </w:rPr>
        <w:t>confidentially.</w:t>
      </w:r>
    </w:p>
    <w:sectPr w:rsidR="00101A55">
      <w:type w:val="continuous"/>
      <w:pgSz w:w="12240" w:h="15840"/>
      <w:pgMar w:top="580" w:right="580" w:bottom="280" w:left="5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F327A" w14:textId="77777777" w:rsidR="008F6349" w:rsidRDefault="008F6349" w:rsidP="003510C2">
      <w:r>
        <w:separator/>
      </w:r>
    </w:p>
  </w:endnote>
  <w:endnote w:type="continuationSeparator" w:id="0">
    <w:p w14:paraId="0709A85A" w14:textId="77777777" w:rsidR="008F6349" w:rsidRDefault="008F6349" w:rsidP="00351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42512" w14:textId="77777777" w:rsidR="008F6349" w:rsidRDefault="008F6349" w:rsidP="003510C2">
      <w:r>
        <w:separator/>
      </w:r>
    </w:p>
  </w:footnote>
  <w:footnote w:type="continuationSeparator" w:id="0">
    <w:p w14:paraId="6FBB9AED" w14:textId="77777777" w:rsidR="008F6349" w:rsidRDefault="008F6349" w:rsidP="003510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E85DE" w14:textId="1C7958EB" w:rsidR="003510C2" w:rsidRDefault="003510C2">
    <w:pPr>
      <w:pStyle w:val="Header"/>
    </w:pPr>
    <w:r>
      <w:rPr>
        <w:noProof/>
      </w:rPr>
      <w:drawing>
        <wp:inline distT="0" distB="0" distL="0" distR="0" wp14:anchorId="7654E2FE" wp14:editId="2EB1790C">
          <wp:extent cx="1116965" cy="692150"/>
          <wp:effectExtent l="0" t="0" r="635" b="6350"/>
          <wp:docPr id="948575532" name="Picture 948575532" descr="LVC interlock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VC interlocking logo"/>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16965" cy="6921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01A55"/>
    <w:rsid w:val="00101A55"/>
    <w:rsid w:val="003510C2"/>
    <w:rsid w:val="006D5D54"/>
    <w:rsid w:val="008F6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8D0020"/>
  <w15:docId w15:val="{20D26F2E-C6B3-A54A-9BAF-8FC6BCC88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ind w:left="100"/>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74"/>
      <w:ind w:left="273" w:right="40"/>
      <w:jc w:val="center"/>
    </w:pPr>
    <w:rPr>
      <w:sz w:val="72"/>
      <w:szCs w:val="7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510C2"/>
    <w:pPr>
      <w:tabs>
        <w:tab w:val="center" w:pos="4680"/>
        <w:tab w:val="right" w:pos="9360"/>
      </w:tabs>
    </w:pPr>
  </w:style>
  <w:style w:type="character" w:customStyle="1" w:styleId="HeaderChar">
    <w:name w:val="Header Char"/>
    <w:basedOn w:val="DefaultParagraphFont"/>
    <w:link w:val="Header"/>
    <w:uiPriority w:val="99"/>
    <w:rsid w:val="003510C2"/>
    <w:rPr>
      <w:rFonts w:ascii="Trebuchet MS" w:eastAsia="Trebuchet MS" w:hAnsi="Trebuchet MS" w:cs="Trebuchet MS"/>
    </w:rPr>
  </w:style>
  <w:style w:type="paragraph" w:styleId="Footer">
    <w:name w:val="footer"/>
    <w:basedOn w:val="Normal"/>
    <w:link w:val="FooterChar"/>
    <w:uiPriority w:val="99"/>
    <w:unhideWhenUsed/>
    <w:rsid w:val="003510C2"/>
    <w:pPr>
      <w:tabs>
        <w:tab w:val="center" w:pos="4680"/>
        <w:tab w:val="right" w:pos="9360"/>
      </w:tabs>
    </w:pPr>
  </w:style>
  <w:style w:type="character" w:customStyle="1" w:styleId="FooterChar">
    <w:name w:val="Footer Char"/>
    <w:basedOn w:val="DefaultParagraphFont"/>
    <w:link w:val="Footer"/>
    <w:uiPriority w:val="99"/>
    <w:rsid w:val="003510C2"/>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hannafor@lvc.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634</Words>
  <Characters>3619</Characters>
  <Application>Microsoft Office Word</Application>
  <DocSecurity>0</DocSecurity>
  <Lines>30</Lines>
  <Paragraphs>8</Paragraphs>
  <ScaleCrop>false</ScaleCrop>
  <Company/>
  <LinksUpToDate>false</LinksUpToDate>
  <CharactersWithSpaces>4245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Showers, Dawn</dc:creator>
  <cp:lastModifiedBy>Miles, Christina</cp:lastModifiedBy>
  <cp:revision>3</cp:revision>
  <dcterms:created xsi:type="dcterms:W3CDTF">2022-03-28T19:17:00Z</dcterms:created>
  <dcterms:modified xsi:type="dcterms:W3CDTF">2023-05-23T12:18:00Z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2020-07-06T00:00:00Z</vt:filetime>
  </property>
  <property fmtid="{D5CDD505-2E9C-101B-9397-08002B2CF9AE}" pid="3" name="Creator">
    <vt:lpwstr>Microsoft Word</vt:lpwstr>
  </property>
  <property fmtid="{D5CDD505-2E9C-101B-9397-08002B2CF9AE}" pid="4" name="LastSaved">
    <vt:filetime>2022-03-28T00:00:00Z</vt:filetime>
  </property>
</Properties>
</file>